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FD 465 - 39</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Sanierung Sporthallen Epe, 2. BA - Sporthallenboden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B/2025/027</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Die Stadt Gronau plant die Umsetzung des 2. Bauabschnittes für den Umbau bzw. die Sanierung der Dreifachsporthalle in Epe. Zudem handelt es sich um den Neubau eines Multifunkionsraumes mit angrenzenden Lagerflächen. Ausgeschrieben sind hier die Arbeiten für den Sporthallenboden, siehe Leistungsverzeichnis.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